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C5" w:rsidRPr="00150CC5" w:rsidRDefault="00150CC5" w:rsidP="0015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8"/>
          <w:szCs w:val="28"/>
          <w:lang w:eastAsia="sl-SI"/>
        </w:rPr>
      </w:pPr>
      <w:r w:rsidRPr="00150CC5">
        <w:rPr>
          <w:rFonts w:ascii="Century Gothic" w:eastAsia="Times New Roman" w:hAnsi="Century Gothic" w:cs="Courier New"/>
          <w:b/>
          <w:sz w:val="28"/>
          <w:szCs w:val="28"/>
          <w:lang w:eastAsia="sl-SI"/>
        </w:rPr>
        <w:t>NOV RAZPIS EVROPSKEGA RAZISKOVALNEGA SVETA ZA NAJOBETAVNEJŠE</w:t>
      </w:r>
    </w:p>
    <w:p w:rsidR="00150CC5" w:rsidRDefault="00150CC5" w:rsidP="0015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8"/>
          <w:szCs w:val="28"/>
          <w:lang w:eastAsia="sl-SI"/>
        </w:rPr>
      </w:pPr>
      <w:r w:rsidRPr="00150CC5">
        <w:rPr>
          <w:rFonts w:ascii="Century Gothic" w:eastAsia="Times New Roman" w:hAnsi="Century Gothic" w:cs="Courier New"/>
          <w:b/>
          <w:sz w:val="28"/>
          <w:szCs w:val="28"/>
          <w:lang w:eastAsia="sl-SI"/>
        </w:rPr>
        <w:t>MLADE RAZISKOVALCE IZ CELEGA SVETA</w:t>
      </w:r>
    </w:p>
    <w:p w:rsidR="00150CC5" w:rsidRDefault="00150CC5" w:rsidP="0015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8"/>
          <w:szCs w:val="28"/>
          <w:lang w:eastAsia="sl-SI"/>
        </w:rPr>
      </w:pPr>
    </w:p>
    <w:p w:rsidR="00150CC5" w:rsidRDefault="00150CC5" w:rsidP="0015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8"/>
          <w:szCs w:val="28"/>
          <w:lang w:eastAsia="sl-SI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Obveščamo vas, da je Evropski raziskovalni svet (ERC) objavil javni razpis</w:t>
      </w:r>
      <w:r>
        <w:rPr>
          <w:rFonts w:ascii="Century Gothic" w:hAnsi="Century Gothic"/>
          <w:sz w:val="24"/>
          <w:szCs w:val="24"/>
        </w:rPr>
        <w:t xml:space="preserve"> za </w:t>
      </w:r>
      <w:r w:rsidRPr="00150CC5">
        <w:rPr>
          <w:rFonts w:ascii="Century Gothic" w:hAnsi="Century Gothic"/>
          <w:sz w:val="24"/>
          <w:szCs w:val="24"/>
        </w:rPr>
        <w:t>podelitev začetnih nepovratnih sredstev najobetavnejšim mladim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raziskovalcem iz celega sveta, ki že delajo - ali pa pričenjajo z delom v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gostiteljskih raziskovalnih ustanovah po Evropi. Razpis je odprt za vsa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področja raziskovanja vključujoč družbene in humanistične vede, njegov namen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pa je spodbujati inovativne ideje. Skupna vrednost razpisa je 730 milijonov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evrov, kar je 10% več kot v primerjavi s preteklim letom. Sredstva z razpisa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bodo dodeljena  od 500 do 600 talentiranim  raziskovalcem. Edini kriterij za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izbor je znanstvena odličnost.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Prijave mora posredovati gostiteljska ustanova (univerza, javno ali zasebno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raziskovalno središče) s sedežem v eni od 27 držav članic ali 13 držav, ki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kot pridružene članice sodelujejo v 7. okvirnem programu za raziskovalce.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Prijave bo obravnavala in izbirala priznana mednarodna strokovna skupina za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ocenjevanje, ki vključuje tudi znanstvenike iz vsega sveta.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Razpis Evropskega raziskovalnega sveta je del 7 milijard evrov vrednega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razpisa 7. okvirnega programa EU za raziskave in razvoj, ki ga je Evropska</w:t>
      </w:r>
      <w:r>
        <w:rPr>
          <w:rFonts w:ascii="Century Gothic" w:hAnsi="Century Gothic"/>
          <w:sz w:val="24"/>
          <w:szCs w:val="24"/>
        </w:rPr>
        <w:t xml:space="preserve"> </w:t>
      </w:r>
      <w:r w:rsidRPr="00150CC5">
        <w:rPr>
          <w:rFonts w:ascii="Century Gothic" w:hAnsi="Century Gothic"/>
          <w:sz w:val="24"/>
          <w:szCs w:val="24"/>
        </w:rPr>
        <w:t>komisija objavila 19. julija 2011.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Rok za oddajo prijav so naslednji: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Naravoslovne (Fizikalne) in tehniške vede: 12. oktober 2011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Biološke vede: 9. november 2011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Družbene in humanistične vede: 24. november 2011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Več informacij o razpisu dobite na spodnjih povezavah: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 xml:space="preserve">Evropski raziskovalni svet: </w:t>
      </w:r>
      <w:hyperlink r:id="rId4" w:history="1">
        <w:r w:rsidRPr="00150CC5">
          <w:rPr>
            <w:rStyle w:val="Hyperlink"/>
            <w:rFonts w:ascii="Century Gothic" w:hAnsi="Century Gothic"/>
            <w:sz w:val="24"/>
            <w:szCs w:val="24"/>
          </w:rPr>
          <w:t>http://erc.europa.eu/</w:t>
        </w:r>
      </w:hyperlink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r w:rsidRPr="00150CC5">
        <w:rPr>
          <w:rFonts w:ascii="Century Gothic" w:hAnsi="Century Gothic"/>
          <w:sz w:val="24"/>
          <w:szCs w:val="24"/>
        </w:rPr>
        <w:t>Več o razpisih ERC:</w:t>
      </w: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  <w:hyperlink r:id="rId5" w:history="1">
        <w:r w:rsidRPr="00150CC5">
          <w:rPr>
            <w:rStyle w:val="Hyperlink"/>
            <w:rFonts w:ascii="Century Gothic" w:hAnsi="Century Gothic"/>
            <w:sz w:val="24"/>
            <w:szCs w:val="24"/>
          </w:rPr>
          <w:t>http://erc.europa.eu/index.cfm?fuseaction=page.display&amp;topicID=498</w:t>
        </w:r>
      </w:hyperlink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pStyle w:val="HTMLPreformatted"/>
        <w:jc w:val="both"/>
        <w:rPr>
          <w:rFonts w:ascii="Century Gothic" w:hAnsi="Century Gothic"/>
          <w:sz w:val="24"/>
          <w:szCs w:val="24"/>
        </w:rPr>
      </w:pPr>
    </w:p>
    <w:p w:rsidR="00150CC5" w:rsidRPr="00150CC5" w:rsidRDefault="00150CC5" w:rsidP="0015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entury Gothic" w:eastAsia="Times New Roman" w:hAnsi="Century Gothic" w:cs="Courier New"/>
          <w:b/>
          <w:sz w:val="24"/>
          <w:szCs w:val="24"/>
          <w:lang w:eastAsia="sl-SI"/>
        </w:rPr>
      </w:pPr>
    </w:p>
    <w:p w:rsidR="00104558" w:rsidRPr="00150CC5" w:rsidRDefault="00104558" w:rsidP="00150CC5">
      <w:pPr>
        <w:jc w:val="both"/>
        <w:rPr>
          <w:rFonts w:ascii="Century Gothic" w:hAnsi="Century Gothic"/>
          <w:sz w:val="24"/>
          <w:szCs w:val="24"/>
        </w:rPr>
      </w:pPr>
    </w:p>
    <w:sectPr w:rsidR="00104558" w:rsidRPr="00150CC5" w:rsidSect="0010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CC5"/>
    <w:rsid w:val="00104558"/>
    <w:rsid w:val="00150CC5"/>
    <w:rsid w:val="002201C8"/>
    <w:rsid w:val="00391073"/>
    <w:rsid w:val="00435546"/>
    <w:rsid w:val="00F9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CC5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150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c.europa.eu/index.cfm?fuseaction=page.display&amp;topicID=498" TargetMode="External"/><Relationship Id="rId4" Type="http://schemas.openxmlformats.org/officeDocument/2006/relationships/hyperlink" Target="http://erc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1505</Characters>
  <Application>Microsoft Office Word</Application>
  <DocSecurity>0</DocSecurity>
  <Lines>12</Lines>
  <Paragraphs>3</Paragraphs>
  <ScaleCrop>false</ScaleCrop>
  <Company>FKKT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Matejam</dc:creator>
  <cp:keywords/>
  <dc:description/>
  <cp:lastModifiedBy>Matejam</cp:lastModifiedBy>
  <cp:revision>1</cp:revision>
  <dcterms:created xsi:type="dcterms:W3CDTF">2011-07-27T06:10:00Z</dcterms:created>
  <dcterms:modified xsi:type="dcterms:W3CDTF">2011-07-27T06:16:00Z</dcterms:modified>
</cp:coreProperties>
</file>